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uto"/>
        <w:jc w:val="center"/>
        <w:rPr>
          <w:rFonts w:ascii="宋体" w:hAnsi="宋体" w:cs="宋体"/>
          <w:b/>
          <w:sz w:val="24"/>
        </w:rPr>
      </w:pPr>
      <w:r>
        <w:rPr>
          <w:rFonts w:ascii="宋体" w:hAnsi="宋体" w:cs="宋体"/>
          <w:b/>
          <w:sz w:val="24"/>
        </w:rPr>
        <w:t>商标使用许可合同</w:t>
      </w:r>
    </w:p>
    <w:p>
      <w:pPr>
        <w:pStyle w:val="4"/>
        <w:spacing w:before="0" w:beforeAutospacing="0" w:after="0" w:afterAutospacing="0" w:line="360" w:lineRule="auto"/>
        <w:rPr>
          <w:rFonts w:ascii="宋体" w:hAnsi="宋体" w:cs="宋体"/>
          <w:color w:val="000000"/>
          <w:sz w:val="24"/>
        </w:rPr>
      </w:pPr>
      <w:r>
        <w:rPr>
          <w:rFonts w:ascii="宋体" w:hAnsi="宋体" w:cs="宋体"/>
          <w:b/>
          <w:color w:val="000000"/>
          <w:sz w:val="24"/>
        </w:rPr>
        <w:t>总部（许可方）：</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统一社会信用代码：</w:t>
      </w:r>
    </w:p>
    <w:p>
      <w:pPr>
        <w:pStyle w:val="4"/>
        <w:spacing w:before="0" w:beforeAutospacing="0" w:after="0" w:afterAutospacing="0" w:line="360" w:lineRule="auto"/>
        <w:rPr>
          <w:rFonts w:ascii="宋体" w:hAnsi="宋体" w:cs="宋体"/>
          <w:color w:val="000000"/>
          <w:sz w:val="24"/>
        </w:rPr>
      </w:pPr>
      <w:r>
        <w:rPr>
          <w:rFonts w:ascii="宋体" w:hAnsi="宋体" w:cs="宋体"/>
          <w:b/>
          <w:color w:val="000000"/>
          <w:sz w:val="24"/>
        </w:rPr>
        <w:t>加盟商（被许可方）：</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统一社会信用代码：</w:t>
      </w:r>
    </w:p>
    <w:p>
      <w:pPr>
        <w:pStyle w:val="4"/>
        <w:spacing w:before="0" w:beforeAutospacing="0" w:after="0" w:afterAutospacing="0" w:line="360" w:lineRule="auto"/>
        <w:rPr>
          <w:rFonts w:ascii="宋体" w:hAnsi="宋体" w:cs="宋体"/>
          <w:color w:val="000000"/>
          <w:sz w:val="24"/>
        </w:rPr>
      </w:pPr>
      <w:bookmarkStart w:id="0" w:name="_GoBack"/>
      <w:r>
        <w:rPr>
          <w:rFonts w:ascii="宋体" w:hAnsi="宋体" w:cs="宋体"/>
          <w:color w:val="000000"/>
          <w:sz w:val="24"/>
        </w:rPr>
        <w:t>为了规范特许经营系统商标许可使用的行为，维护特许经营系统的形象和声誉，根</w:t>
      </w:r>
      <w:bookmarkEnd w:id="0"/>
      <w:r>
        <w:rPr>
          <w:rFonts w:ascii="宋体" w:hAnsi="宋体" w:cs="宋体"/>
          <w:color w:val="000000"/>
          <w:sz w:val="24"/>
        </w:rPr>
        <w:t>据总部与加盟商于</w:t>
      </w:r>
      <w:r>
        <w:rPr>
          <w:rFonts w:ascii="宋体" w:hAnsi="宋体" w:cs="宋体"/>
          <w:color w:val="000000"/>
          <w:sz w:val="24"/>
          <w:u w:val="single"/>
        </w:rPr>
        <w:t>    </w:t>
      </w:r>
      <w:r>
        <w:rPr>
          <w:rFonts w:ascii="宋体" w:hAnsi="宋体" w:cs="宋体"/>
          <w:color w:val="000000"/>
          <w:sz w:val="24"/>
        </w:rPr>
        <w:t>年</w:t>
      </w:r>
      <w:r>
        <w:rPr>
          <w:rFonts w:ascii="宋体" w:hAnsi="宋体" w:cs="宋体"/>
          <w:color w:val="000000"/>
          <w:sz w:val="24"/>
          <w:u w:val="single"/>
        </w:rPr>
        <w:t>    </w:t>
      </w:r>
      <w:r>
        <w:rPr>
          <w:rFonts w:ascii="宋体" w:hAnsi="宋体" w:cs="宋体"/>
          <w:color w:val="000000"/>
          <w:sz w:val="24"/>
        </w:rPr>
        <w:t>月</w:t>
      </w:r>
      <w:r>
        <w:rPr>
          <w:rFonts w:ascii="宋体" w:hAnsi="宋体" w:cs="宋体"/>
          <w:color w:val="000000"/>
          <w:sz w:val="24"/>
          <w:u w:val="single"/>
        </w:rPr>
        <w:t>    </w:t>
      </w:r>
      <w:r>
        <w:rPr>
          <w:rFonts w:ascii="宋体" w:hAnsi="宋体" w:cs="宋体"/>
          <w:color w:val="000000"/>
          <w:sz w:val="24"/>
        </w:rPr>
        <w:t>日达成的《特许经营合同》，对总部许可加盟商使用商标事宜达成本合同以共同遵守。</w:t>
      </w:r>
    </w:p>
    <w:p>
      <w:pPr>
        <w:pStyle w:val="3"/>
        <w:numPr>
          <w:ilvl w:val="0"/>
          <w:numId w:val="1"/>
        </w:numPr>
        <w:spacing w:before="0" w:beforeAutospacing="0" w:after="0" w:afterAutospacing="0" w:line="360" w:lineRule="auto"/>
        <w:rPr>
          <w:rFonts w:ascii="宋体" w:hAnsi="宋体" w:cs="宋体"/>
          <w:color w:val="000000"/>
        </w:rPr>
      </w:pPr>
      <w:r>
        <w:rPr>
          <w:rFonts w:ascii="宋体" w:hAnsi="宋体" w:cs="宋体"/>
          <w:sz w:val="28"/>
        </w:rPr>
        <w:t>许可商标信息</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商标名称：</w:t>
      </w:r>
      <w:r>
        <w:rPr>
          <w:rFonts w:ascii="宋体" w:hAnsi="宋体" w:cs="宋体"/>
          <w:color w:val="000000"/>
          <w:sz w:val="24"/>
          <w:u w:val="single"/>
        </w:rPr>
        <w:t>  </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商标注册号：</w:t>
      </w:r>
      <w:r>
        <w:rPr>
          <w:rFonts w:ascii="宋体" w:hAnsi="宋体" w:cs="宋体"/>
          <w:color w:val="000000"/>
          <w:sz w:val="24"/>
          <w:u w:val="single"/>
        </w:rPr>
        <w:t>  </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商品或服务国际分类：</w:t>
      </w:r>
      <w:r>
        <w:rPr>
          <w:rFonts w:ascii="宋体" w:hAnsi="宋体" w:cs="宋体"/>
          <w:color w:val="000000"/>
          <w:sz w:val="24"/>
          <w:u w:val="single"/>
        </w:rPr>
        <w:t>  </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商标注册国家或地区：中国大陆</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商标核准注册日：</w:t>
      </w:r>
      <w:r>
        <w:rPr>
          <w:rFonts w:ascii="宋体" w:hAnsi="宋体" w:cs="宋体"/>
          <w:color w:val="000000"/>
          <w:sz w:val="24"/>
          <w:u w:val="single"/>
        </w:rPr>
        <w:t>  </w:t>
      </w:r>
      <w:r>
        <w:rPr>
          <w:rFonts w:ascii="宋体" w:hAnsi="宋体" w:cs="宋体"/>
          <w:color w:val="000000"/>
          <w:sz w:val="24"/>
        </w:rPr>
        <w:t>年</w:t>
      </w:r>
      <w:r>
        <w:rPr>
          <w:rFonts w:ascii="宋体" w:hAnsi="宋体" w:cs="宋体"/>
          <w:color w:val="000000"/>
          <w:sz w:val="24"/>
          <w:u w:val="single"/>
        </w:rPr>
        <w:t>  </w:t>
      </w:r>
      <w:r>
        <w:rPr>
          <w:rFonts w:ascii="宋体" w:hAnsi="宋体" w:cs="宋体"/>
          <w:color w:val="000000"/>
          <w:sz w:val="24"/>
        </w:rPr>
        <w:t>月</w:t>
      </w:r>
      <w:r>
        <w:rPr>
          <w:rFonts w:ascii="宋体" w:hAnsi="宋体" w:cs="宋体"/>
          <w:color w:val="000000"/>
          <w:sz w:val="24"/>
          <w:u w:val="single"/>
        </w:rPr>
        <w:t>  </w:t>
      </w:r>
      <w:r>
        <w:rPr>
          <w:rFonts w:ascii="宋体" w:hAnsi="宋体" w:cs="宋体"/>
          <w:color w:val="000000"/>
          <w:sz w:val="24"/>
        </w:rPr>
        <w:t>日</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专用权期限：</w:t>
      </w:r>
      <w:r>
        <w:rPr>
          <w:rFonts w:ascii="宋体" w:hAnsi="宋体" w:cs="宋体"/>
          <w:color w:val="000000"/>
          <w:sz w:val="24"/>
          <w:u w:val="single"/>
        </w:rPr>
        <w:t>  </w:t>
      </w:r>
      <w:r>
        <w:rPr>
          <w:rFonts w:ascii="宋体" w:hAnsi="宋体" w:cs="宋体"/>
          <w:color w:val="000000"/>
          <w:sz w:val="24"/>
        </w:rPr>
        <w:t>年</w:t>
      </w:r>
      <w:r>
        <w:rPr>
          <w:rFonts w:ascii="宋体" w:hAnsi="宋体" w:cs="宋体"/>
          <w:color w:val="000000"/>
          <w:sz w:val="24"/>
          <w:u w:val="single"/>
        </w:rPr>
        <w:t>  </w:t>
      </w:r>
      <w:r>
        <w:rPr>
          <w:rFonts w:ascii="宋体" w:hAnsi="宋体" w:cs="宋体"/>
          <w:color w:val="000000"/>
          <w:sz w:val="24"/>
        </w:rPr>
        <w:t>月</w:t>
      </w:r>
      <w:r>
        <w:rPr>
          <w:rFonts w:ascii="宋体" w:hAnsi="宋体" w:cs="宋体"/>
          <w:color w:val="000000"/>
          <w:sz w:val="24"/>
          <w:u w:val="single"/>
        </w:rPr>
        <w:t>  </w:t>
      </w:r>
      <w:r>
        <w:rPr>
          <w:rFonts w:ascii="宋体" w:hAnsi="宋体" w:cs="宋体"/>
          <w:color w:val="000000"/>
          <w:sz w:val="24"/>
        </w:rPr>
        <w:t>日至</w:t>
      </w:r>
      <w:r>
        <w:rPr>
          <w:rFonts w:ascii="宋体" w:hAnsi="宋体" w:cs="宋体"/>
          <w:color w:val="000000"/>
          <w:sz w:val="24"/>
          <w:u w:val="single"/>
        </w:rPr>
        <w:t>  </w:t>
      </w:r>
      <w:r>
        <w:rPr>
          <w:rFonts w:ascii="宋体" w:hAnsi="宋体" w:cs="宋体"/>
          <w:color w:val="000000"/>
          <w:sz w:val="24"/>
        </w:rPr>
        <w:t>年</w:t>
      </w:r>
      <w:r>
        <w:rPr>
          <w:rFonts w:ascii="宋体" w:hAnsi="宋体" w:cs="宋体"/>
          <w:color w:val="000000"/>
          <w:sz w:val="24"/>
          <w:u w:val="single"/>
        </w:rPr>
        <w:t>  </w:t>
      </w:r>
      <w:r>
        <w:rPr>
          <w:rFonts w:ascii="宋体" w:hAnsi="宋体" w:cs="宋体"/>
          <w:color w:val="000000"/>
          <w:sz w:val="24"/>
        </w:rPr>
        <w:t>月</w:t>
      </w:r>
      <w:r>
        <w:rPr>
          <w:rFonts w:ascii="宋体" w:hAnsi="宋体" w:cs="宋体"/>
          <w:color w:val="000000"/>
          <w:sz w:val="24"/>
          <w:u w:val="single"/>
        </w:rPr>
        <w:t>  </w:t>
      </w:r>
      <w:r>
        <w:rPr>
          <w:rFonts w:ascii="宋体" w:hAnsi="宋体" w:cs="宋体"/>
          <w:color w:val="000000"/>
          <w:sz w:val="24"/>
        </w:rPr>
        <w:t>日</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注册商标图样：（详见附件）</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以下简称“商标”或“本商标”。</w:t>
      </w:r>
    </w:p>
    <w:p>
      <w:pPr>
        <w:pStyle w:val="3"/>
        <w:numPr>
          <w:ilvl w:val="0"/>
          <w:numId w:val="2"/>
        </w:numPr>
        <w:spacing w:before="0" w:beforeAutospacing="0" w:after="0" w:afterAutospacing="0" w:line="360" w:lineRule="auto"/>
        <w:rPr>
          <w:rFonts w:ascii="宋体" w:hAnsi="宋体" w:cs="宋体"/>
          <w:color w:val="000000"/>
        </w:rPr>
      </w:pPr>
      <w:r>
        <w:rPr>
          <w:rFonts w:ascii="宋体" w:hAnsi="宋体" w:cs="宋体"/>
          <w:b/>
          <w:sz w:val="24"/>
        </w:rPr>
        <w:t>许可使用的方式</w:t>
      </w:r>
    </w:p>
    <w:p>
      <w:pPr>
        <w:pStyle w:val="4"/>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总部授权加盟商在特许区域内，以</w:t>
      </w:r>
      <w:r>
        <w:rPr>
          <w:rFonts w:ascii="宋体" w:hAnsi="宋体" w:cs="宋体"/>
          <w:color w:val="000000"/>
          <w:sz w:val="24"/>
          <w:u w:val="single"/>
        </w:rPr>
        <w:t>独占/排他/普通</w:t>
      </w:r>
      <w:r>
        <w:rPr>
          <w:rFonts w:ascii="宋体" w:hAnsi="宋体" w:cs="宋体"/>
          <w:color w:val="000000"/>
          <w:sz w:val="24"/>
        </w:rPr>
        <w:t>许可的方式使用商标。</w:t>
      </w:r>
    </w:p>
    <w:p>
      <w:pPr>
        <w:pStyle w:val="3"/>
        <w:numPr>
          <w:ilvl w:val="0"/>
          <w:numId w:val="3"/>
        </w:numPr>
        <w:spacing w:before="0" w:beforeAutospacing="0" w:after="0" w:afterAutospacing="0" w:line="360" w:lineRule="auto"/>
        <w:rPr>
          <w:rFonts w:ascii="宋体" w:hAnsi="宋体" w:cs="宋体"/>
          <w:color w:val="000000"/>
        </w:rPr>
      </w:pPr>
      <w:r>
        <w:rPr>
          <w:rFonts w:ascii="宋体" w:hAnsi="宋体" w:cs="宋体"/>
          <w:b/>
          <w:sz w:val="24"/>
        </w:rPr>
        <w:t>许可使用的范围</w:t>
      </w:r>
    </w:p>
    <w:p>
      <w:pPr>
        <w:pStyle w:val="4"/>
        <w:numPr>
          <w:ilvl w:val="1"/>
          <w:numId w:val="3"/>
        </w:numPr>
        <w:spacing w:before="0" w:beforeAutospacing="0" w:after="0" w:afterAutospacing="0" w:line="360" w:lineRule="auto"/>
        <w:rPr>
          <w:rFonts w:ascii="宋体" w:hAnsi="宋体" w:cs="宋体"/>
          <w:color w:val="000000"/>
        </w:rPr>
      </w:pPr>
      <w:r>
        <w:rPr>
          <w:rFonts w:ascii="宋体" w:hAnsi="宋体" w:cs="宋体"/>
          <w:color w:val="000000"/>
          <w:sz w:val="24"/>
        </w:rPr>
        <w:t>总部许可加盟商使用的商标限于</w:t>
      </w:r>
      <w:r>
        <w:rPr>
          <w:rFonts w:ascii="宋体" w:hAnsi="宋体" w:cs="宋体"/>
          <w:color w:val="000000"/>
          <w:sz w:val="24"/>
          <w:u w:val="single"/>
        </w:rPr>
        <w:t>    </w:t>
      </w:r>
      <w:r>
        <w:rPr>
          <w:rFonts w:ascii="宋体" w:hAnsi="宋体" w:cs="宋体"/>
          <w:color w:val="000000"/>
          <w:sz w:val="24"/>
        </w:rPr>
        <w:t>商品种类（或服务的类别及名称），并按照总部指定的商品品种使用，且总部有权对使用的商品品种进行调整。</w:t>
      </w:r>
    </w:p>
    <w:p>
      <w:pPr>
        <w:pStyle w:val="3"/>
        <w:numPr>
          <w:ilvl w:val="0"/>
          <w:numId w:val="4"/>
        </w:numPr>
        <w:spacing w:before="0" w:beforeAutospacing="0" w:after="0" w:afterAutospacing="0" w:line="360" w:lineRule="auto"/>
        <w:rPr>
          <w:rFonts w:ascii="宋体" w:hAnsi="宋体" w:cs="宋体"/>
          <w:color w:val="000000"/>
        </w:rPr>
      </w:pPr>
      <w:r>
        <w:rPr>
          <w:rFonts w:ascii="宋体" w:hAnsi="宋体" w:cs="宋体"/>
          <w:b/>
          <w:sz w:val="24"/>
        </w:rPr>
        <w:t>许可使用的地域</w:t>
      </w:r>
    </w:p>
    <w:p>
      <w:pPr>
        <w:pStyle w:val="4"/>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总部许可加盟商使用商标的地域范围为《特许经营合同》所规定的特许经营区域，并应符合以下规定：</w:t>
      </w:r>
    </w:p>
    <w:p>
      <w:pPr>
        <w:pStyle w:val="4"/>
        <w:numPr>
          <w:ilvl w:val="2"/>
          <w:numId w:val="4"/>
        </w:numPr>
        <w:spacing w:before="0" w:beforeAutospacing="0" w:after="0" w:afterAutospacing="0" w:line="360" w:lineRule="auto"/>
        <w:rPr>
          <w:rFonts w:ascii="宋体" w:hAnsi="宋体" w:cs="宋体"/>
          <w:color w:val="000000"/>
        </w:rPr>
      </w:pPr>
      <w:r>
        <w:rPr>
          <w:rFonts w:ascii="宋体" w:hAnsi="宋体" w:cs="宋体"/>
          <w:color w:val="000000"/>
          <w:sz w:val="24"/>
        </w:rPr>
        <w:t>使用于加盟店的招牌、标志、物品及总部指定的商品品种。</w:t>
      </w:r>
    </w:p>
    <w:p>
      <w:pPr>
        <w:pStyle w:val="4"/>
        <w:numPr>
          <w:ilvl w:val="2"/>
          <w:numId w:val="4"/>
        </w:numPr>
        <w:spacing w:before="0" w:beforeAutospacing="0" w:after="0" w:afterAutospacing="0" w:line="360" w:lineRule="auto"/>
        <w:rPr>
          <w:rFonts w:ascii="宋体" w:hAnsi="宋体" w:cs="宋体"/>
          <w:color w:val="000000"/>
        </w:rPr>
      </w:pPr>
      <w:r>
        <w:rPr>
          <w:rFonts w:ascii="宋体" w:hAnsi="宋体" w:cs="宋体"/>
          <w:color w:val="000000"/>
          <w:sz w:val="24"/>
        </w:rPr>
        <w:t>商品销售的客户限于在特许区域内注册的企业或企业分支机构。</w:t>
      </w:r>
    </w:p>
    <w:p>
      <w:pPr>
        <w:pStyle w:val="3"/>
        <w:numPr>
          <w:ilvl w:val="0"/>
          <w:numId w:val="5"/>
        </w:numPr>
        <w:spacing w:before="0" w:beforeAutospacing="0" w:after="0" w:afterAutospacing="0" w:line="360" w:lineRule="auto"/>
        <w:rPr>
          <w:rFonts w:ascii="宋体" w:hAnsi="宋体" w:cs="宋体"/>
          <w:color w:val="000000"/>
        </w:rPr>
      </w:pPr>
      <w:r>
        <w:rPr>
          <w:rFonts w:ascii="宋体" w:hAnsi="宋体" w:cs="宋体"/>
          <w:b/>
          <w:sz w:val="24"/>
        </w:rPr>
        <w:t>许可使用的期限</w:t>
      </w:r>
    </w:p>
    <w:p>
      <w:pPr>
        <w:pStyle w:val="4"/>
        <w:numPr>
          <w:ilvl w:val="1"/>
          <w:numId w:val="5"/>
        </w:numPr>
        <w:spacing w:before="0" w:beforeAutospacing="0" w:after="0" w:afterAutospacing="0" w:line="360" w:lineRule="auto"/>
        <w:rPr>
          <w:rFonts w:ascii="宋体" w:hAnsi="宋体" w:cs="宋体"/>
          <w:color w:val="000000"/>
        </w:rPr>
      </w:pPr>
      <w:r>
        <w:rPr>
          <w:rFonts w:ascii="宋体" w:hAnsi="宋体" w:cs="宋体"/>
          <w:color w:val="000000"/>
          <w:sz w:val="24"/>
        </w:rPr>
        <w:t>总部许可加盟商使用的商标，其许可使用期限按下列第</w:t>
      </w:r>
      <w:r>
        <w:rPr>
          <w:rFonts w:ascii="宋体" w:hAnsi="宋体" w:cs="宋体"/>
          <w:color w:val="000000"/>
          <w:sz w:val="24"/>
          <w:u w:val="single"/>
        </w:rPr>
        <w:t>    </w:t>
      </w:r>
      <w:r>
        <w:rPr>
          <w:rFonts w:ascii="宋体" w:hAnsi="宋体" w:cs="宋体"/>
          <w:color w:val="000000"/>
          <w:sz w:val="24"/>
        </w:rPr>
        <w:t>项规定执行：</w:t>
      </w:r>
    </w:p>
    <w:p>
      <w:pPr>
        <w:pStyle w:val="4"/>
        <w:numPr>
          <w:ilvl w:val="2"/>
          <w:numId w:val="5"/>
        </w:numPr>
        <w:spacing w:before="0" w:beforeAutospacing="0" w:after="0" w:afterAutospacing="0" w:line="360" w:lineRule="auto"/>
        <w:rPr>
          <w:rFonts w:ascii="宋体" w:hAnsi="宋体" w:cs="宋体"/>
          <w:color w:val="000000"/>
        </w:rPr>
      </w:pPr>
      <w:r>
        <w:rPr>
          <w:rFonts w:ascii="宋体" w:hAnsi="宋体" w:cs="宋体"/>
          <w:color w:val="000000"/>
          <w:sz w:val="24"/>
        </w:rPr>
        <w:t>与特许经营合同的期限相同。</w:t>
      </w:r>
    </w:p>
    <w:p>
      <w:pPr>
        <w:pStyle w:val="4"/>
        <w:numPr>
          <w:ilvl w:val="2"/>
          <w:numId w:val="5"/>
        </w:numPr>
        <w:spacing w:before="0" w:beforeAutospacing="0" w:after="0" w:afterAutospacing="0" w:line="360" w:lineRule="auto"/>
        <w:rPr>
          <w:rFonts w:ascii="宋体" w:hAnsi="宋体" w:cs="宋体"/>
          <w:color w:val="000000"/>
        </w:rPr>
      </w:pPr>
      <w:r>
        <w:rPr>
          <w:rFonts w:ascii="宋体" w:hAnsi="宋体" w:cs="宋体"/>
          <w:color w:val="000000"/>
          <w:sz w:val="24"/>
        </w:rPr>
        <w:t>合同期限按照总部的通知执行。</w:t>
      </w:r>
    </w:p>
    <w:p>
      <w:pPr>
        <w:pStyle w:val="4"/>
        <w:numPr>
          <w:ilvl w:val="2"/>
          <w:numId w:val="5"/>
        </w:numPr>
        <w:spacing w:before="0" w:beforeAutospacing="0" w:after="0" w:afterAutospacing="0" w:line="360" w:lineRule="auto"/>
        <w:rPr>
          <w:rFonts w:ascii="宋体" w:hAnsi="宋体" w:cs="宋体"/>
          <w:color w:val="000000"/>
        </w:rPr>
      </w:pPr>
      <w:r>
        <w:rPr>
          <w:rFonts w:ascii="宋体" w:hAnsi="宋体" w:cs="宋体"/>
          <w:color w:val="000000"/>
          <w:sz w:val="24"/>
        </w:rPr>
        <w:t>限于在</w:t>
      </w:r>
      <w:r>
        <w:rPr>
          <w:rFonts w:ascii="宋体" w:hAnsi="宋体" w:cs="宋体"/>
          <w:color w:val="000000"/>
          <w:sz w:val="24"/>
          <w:u w:val="single"/>
        </w:rPr>
        <w:t>        </w:t>
      </w:r>
      <w:r>
        <w:rPr>
          <w:rFonts w:ascii="宋体" w:hAnsi="宋体" w:cs="宋体"/>
          <w:color w:val="000000"/>
          <w:sz w:val="24"/>
        </w:rPr>
        <w:t>期限内使用。</w:t>
      </w:r>
    </w:p>
    <w:p>
      <w:pPr>
        <w:pStyle w:val="3"/>
        <w:numPr>
          <w:ilvl w:val="0"/>
          <w:numId w:val="6"/>
        </w:numPr>
        <w:spacing w:before="0" w:beforeAutospacing="0" w:after="0" w:afterAutospacing="0" w:line="360" w:lineRule="auto"/>
        <w:rPr>
          <w:rFonts w:ascii="宋体" w:hAnsi="宋体" w:cs="宋体"/>
          <w:color w:val="000000"/>
        </w:rPr>
      </w:pPr>
      <w:r>
        <w:rPr>
          <w:rFonts w:ascii="宋体" w:hAnsi="宋体" w:cs="宋体"/>
          <w:b/>
          <w:sz w:val="24"/>
        </w:rPr>
        <w:t>商标的更新</w:t>
      </w:r>
    </w:p>
    <w:p>
      <w:pPr>
        <w:pStyle w:val="4"/>
        <w:numPr>
          <w:ilvl w:val="1"/>
          <w:numId w:val="6"/>
        </w:numPr>
        <w:spacing w:before="0" w:beforeAutospacing="0" w:after="0" w:afterAutospacing="0" w:line="360" w:lineRule="auto"/>
        <w:rPr>
          <w:rFonts w:ascii="宋体" w:hAnsi="宋体" w:cs="宋体"/>
          <w:color w:val="000000"/>
        </w:rPr>
      </w:pPr>
      <w:r>
        <w:rPr>
          <w:rFonts w:ascii="宋体" w:hAnsi="宋体" w:cs="宋体"/>
          <w:color w:val="000000"/>
          <w:sz w:val="24"/>
        </w:rPr>
        <w:t>因总部违反商标法取得本商标注册而被商标局裁定撤销或宣告无效的，无论总部以何种商标取代，除非取得加盟商明确同意，否则加盟商均有权解除本合同。加盟商解除本合同后，总部应当返还</w:t>
      </w:r>
      <w:r>
        <w:rPr>
          <w:rFonts w:ascii="宋体" w:hAnsi="宋体" w:cs="宋体"/>
          <w:color w:val="000000"/>
          <w:sz w:val="24"/>
          <w:u w:val="single"/>
        </w:rPr>
        <w:t>        </w:t>
      </w:r>
      <w:r>
        <w:rPr>
          <w:rFonts w:ascii="宋体" w:hAnsi="宋体" w:cs="宋体"/>
          <w:color w:val="000000"/>
          <w:sz w:val="24"/>
        </w:rPr>
        <w:t>费用，并赔偿</w:t>
      </w:r>
      <w:r>
        <w:rPr>
          <w:rFonts w:ascii="宋体" w:hAnsi="宋体" w:cs="宋体"/>
          <w:color w:val="000000"/>
          <w:sz w:val="24"/>
          <w:u w:val="single"/>
        </w:rPr>
        <w:t>        </w:t>
      </w:r>
      <w:r>
        <w:rPr>
          <w:rFonts w:ascii="宋体" w:hAnsi="宋体" w:cs="宋体"/>
          <w:color w:val="000000"/>
          <w:sz w:val="24"/>
        </w:rPr>
        <w:t>损失。</w:t>
      </w:r>
    </w:p>
    <w:p>
      <w:pPr>
        <w:pStyle w:val="4"/>
        <w:numPr>
          <w:ilvl w:val="1"/>
          <w:numId w:val="6"/>
        </w:numPr>
        <w:spacing w:before="0" w:beforeAutospacing="0" w:after="0" w:afterAutospacing="0" w:line="360" w:lineRule="auto"/>
        <w:rPr>
          <w:rFonts w:ascii="宋体" w:hAnsi="宋体" w:cs="宋体"/>
          <w:color w:val="000000"/>
        </w:rPr>
      </w:pPr>
      <w:r>
        <w:rPr>
          <w:rFonts w:ascii="宋体" w:hAnsi="宋体" w:cs="宋体"/>
          <w:color w:val="000000"/>
          <w:sz w:val="24"/>
        </w:rPr>
        <w:t>在特许经营合同履行期间，总部不得启用新的商标以代替本商标，但总部在现有商标的基础上对商标进行的合理改动且不致引起公众对商标识别性造成重大影响的不在此限。</w:t>
      </w:r>
    </w:p>
    <w:p>
      <w:pPr>
        <w:pStyle w:val="4"/>
        <w:numPr>
          <w:ilvl w:val="1"/>
          <w:numId w:val="6"/>
        </w:numPr>
        <w:spacing w:before="0" w:beforeAutospacing="0" w:after="0" w:afterAutospacing="0" w:line="360" w:lineRule="auto"/>
        <w:rPr>
          <w:rFonts w:ascii="宋体" w:hAnsi="宋体" w:cs="宋体"/>
          <w:color w:val="000000"/>
        </w:rPr>
      </w:pPr>
      <w:r>
        <w:rPr>
          <w:rFonts w:ascii="宋体" w:hAnsi="宋体" w:cs="宋体"/>
          <w:color w:val="000000"/>
          <w:sz w:val="24"/>
        </w:rPr>
        <w:t>无论因任何原因而导致本商标的变更，因此产生的更改招牌及</w:t>
      </w:r>
      <w:r>
        <w:rPr>
          <w:rFonts w:ascii="宋体" w:hAnsi="宋体" w:cs="宋体"/>
          <w:color w:val="000000"/>
          <w:sz w:val="24"/>
          <w:u w:val="single"/>
        </w:rPr>
        <w:t>        </w:t>
      </w:r>
      <w:r>
        <w:rPr>
          <w:rFonts w:ascii="宋体" w:hAnsi="宋体" w:cs="宋体"/>
          <w:color w:val="000000"/>
          <w:sz w:val="24"/>
        </w:rPr>
        <w:t>的费用由</w:t>
      </w:r>
      <w:r>
        <w:rPr>
          <w:rFonts w:ascii="宋体" w:hAnsi="宋体" w:cs="宋体"/>
          <w:color w:val="000000"/>
          <w:sz w:val="24"/>
          <w:u w:val="single"/>
        </w:rPr>
        <w:t>        </w:t>
      </w:r>
      <w:r>
        <w:rPr>
          <w:rFonts w:ascii="宋体" w:hAnsi="宋体" w:cs="宋体"/>
          <w:color w:val="000000"/>
          <w:sz w:val="24"/>
        </w:rPr>
        <w:t>负担。</w:t>
      </w:r>
    </w:p>
    <w:p>
      <w:pPr>
        <w:pStyle w:val="3"/>
        <w:numPr>
          <w:ilvl w:val="0"/>
          <w:numId w:val="7"/>
        </w:numPr>
        <w:spacing w:before="0" w:beforeAutospacing="0" w:after="0" w:afterAutospacing="0" w:line="360" w:lineRule="auto"/>
        <w:rPr>
          <w:rFonts w:ascii="宋体" w:hAnsi="宋体" w:cs="宋体"/>
          <w:color w:val="000000"/>
        </w:rPr>
      </w:pPr>
      <w:r>
        <w:rPr>
          <w:rFonts w:ascii="宋体" w:hAnsi="宋体" w:cs="宋体"/>
          <w:b/>
          <w:sz w:val="24"/>
        </w:rPr>
        <w:t>商品质量的保证</w:t>
      </w:r>
    </w:p>
    <w:p>
      <w:pPr>
        <w:pStyle w:val="4"/>
        <w:numPr>
          <w:ilvl w:val="1"/>
          <w:numId w:val="7"/>
        </w:numPr>
        <w:spacing w:before="0" w:beforeAutospacing="0" w:after="0" w:afterAutospacing="0" w:line="360" w:lineRule="auto"/>
        <w:rPr>
          <w:rFonts w:ascii="宋体" w:hAnsi="宋体" w:cs="宋体"/>
          <w:color w:val="000000"/>
        </w:rPr>
      </w:pPr>
      <w:r>
        <w:rPr>
          <w:rFonts w:ascii="宋体" w:hAnsi="宋体" w:cs="宋体"/>
          <w:color w:val="000000"/>
          <w:sz w:val="24"/>
        </w:rPr>
        <w:t>加盟店使用商标时，按照《特许经营合同》及本合同的规定执行商品质量标准，应当保证商品质量符合国家法律及总部的要求。</w:t>
      </w:r>
    </w:p>
    <w:p>
      <w:pPr>
        <w:pStyle w:val="4"/>
        <w:numPr>
          <w:ilvl w:val="2"/>
          <w:numId w:val="7"/>
        </w:numPr>
        <w:spacing w:before="0" w:beforeAutospacing="0" w:after="0" w:afterAutospacing="0" w:line="360" w:lineRule="auto"/>
        <w:rPr>
          <w:rFonts w:ascii="宋体" w:hAnsi="宋体" w:cs="宋体"/>
          <w:color w:val="000000"/>
        </w:rPr>
      </w:pPr>
      <w:r>
        <w:rPr>
          <w:rFonts w:ascii="宋体" w:hAnsi="宋体" w:cs="宋体"/>
          <w:color w:val="000000"/>
          <w:sz w:val="24"/>
        </w:rPr>
        <w:t>总部向加盟商提供商品的样品，提供制造上的技术指导。</w:t>
      </w:r>
    </w:p>
    <w:p>
      <w:pPr>
        <w:pStyle w:val="4"/>
        <w:numPr>
          <w:ilvl w:val="2"/>
          <w:numId w:val="7"/>
        </w:numPr>
        <w:spacing w:before="0" w:beforeAutospacing="0" w:after="0" w:afterAutospacing="0" w:line="360" w:lineRule="auto"/>
        <w:rPr>
          <w:rFonts w:ascii="宋体" w:hAnsi="宋体" w:cs="宋体"/>
          <w:color w:val="000000"/>
        </w:rPr>
      </w:pPr>
      <w:r>
        <w:rPr>
          <w:rFonts w:ascii="宋体" w:hAnsi="宋体" w:cs="宋体"/>
          <w:color w:val="000000"/>
          <w:sz w:val="24"/>
        </w:rPr>
        <w:t>总部可以监督加盟商的生产，并有权检查加盟商生产情况和产品质量。</w:t>
      </w:r>
    </w:p>
    <w:p>
      <w:pPr>
        <w:pStyle w:val="3"/>
        <w:numPr>
          <w:ilvl w:val="0"/>
          <w:numId w:val="8"/>
        </w:numPr>
        <w:spacing w:before="0" w:beforeAutospacing="0" w:after="0" w:afterAutospacing="0" w:line="360" w:lineRule="auto"/>
        <w:rPr>
          <w:rFonts w:ascii="宋体" w:hAnsi="宋体" w:cs="宋体"/>
          <w:color w:val="000000"/>
        </w:rPr>
      </w:pPr>
      <w:r>
        <w:rPr>
          <w:rFonts w:ascii="宋体" w:hAnsi="宋体" w:cs="宋体"/>
          <w:b/>
          <w:sz w:val="24"/>
        </w:rPr>
        <w:t>商标续展</w:t>
      </w:r>
    </w:p>
    <w:p>
      <w:pPr>
        <w:pStyle w:val="4"/>
        <w:numPr>
          <w:ilvl w:val="1"/>
          <w:numId w:val="8"/>
        </w:numPr>
        <w:spacing w:before="0" w:beforeAutospacing="0" w:after="0" w:afterAutospacing="0" w:line="360" w:lineRule="auto"/>
        <w:rPr>
          <w:rFonts w:ascii="宋体" w:hAnsi="宋体" w:cs="宋体"/>
          <w:color w:val="000000"/>
        </w:rPr>
      </w:pPr>
      <w:r>
        <w:rPr>
          <w:rFonts w:ascii="宋体" w:hAnsi="宋体" w:cs="宋体"/>
          <w:color w:val="000000"/>
          <w:sz w:val="24"/>
        </w:rPr>
        <w:t>总部应保证履行商标的续展手续及其他保障商品合法性的注册手续，包括产品的原产地标志及</w:t>
      </w:r>
      <w:r>
        <w:rPr>
          <w:rFonts w:ascii="宋体" w:hAnsi="宋体" w:cs="宋体"/>
          <w:color w:val="000000"/>
          <w:sz w:val="24"/>
          <w:u w:val="single"/>
        </w:rPr>
        <w:t>        </w:t>
      </w:r>
      <w:r>
        <w:rPr>
          <w:rFonts w:ascii="宋体" w:hAnsi="宋体" w:cs="宋体"/>
          <w:color w:val="000000"/>
          <w:sz w:val="24"/>
        </w:rPr>
        <w:t>认证。</w:t>
      </w:r>
    </w:p>
    <w:p>
      <w:pPr>
        <w:pStyle w:val="3"/>
        <w:numPr>
          <w:ilvl w:val="0"/>
          <w:numId w:val="9"/>
        </w:numPr>
        <w:spacing w:before="0" w:beforeAutospacing="0" w:after="0" w:afterAutospacing="0" w:line="360" w:lineRule="auto"/>
        <w:rPr>
          <w:rFonts w:ascii="宋体" w:hAnsi="宋体" w:cs="宋体"/>
          <w:color w:val="000000"/>
        </w:rPr>
      </w:pPr>
      <w:r>
        <w:rPr>
          <w:rFonts w:ascii="宋体" w:hAnsi="宋体" w:cs="宋体"/>
          <w:b/>
          <w:sz w:val="24"/>
        </w:rPr>
        <w:t>许可使用费</w:t>
      </w:r>
    </w:p>
    <w:p>
      <w:pPr>
        <w:pStyle w:val="4"/>
        <w:numPr>
          <w:ilvl w:val="1"/>
          <w:numId w:val="9"/>
        </w:numPr>
        <w:spacing w:before="0" w:beforeAutospacing="0" w:after="0" w:afterAutospacing="0" w:line="360" w:lineRule="auto"/>
        <w:rPr>
          <w:rFonts w:ascii="宋体" w:hAnsi="宋体" w:cs="宋体"/>
          <w:color w:val="000000"/>
        </w:rPr>
      </w:pPr>
      <w:r>
        <w:rPr>
          <w:rFonts w:ascii="宋体" w:hAnsi="宋体" w:cs="宋体"/>
          <w:color w:val="000000"/>
          <w:sz w:val="24"/>
        </w:rPr>
        <w:t>许可使用费按如下第</w:t>
      </w:r>
      <w:r>
        <w:rPr>
          <w:rFonts w:ascii="宋体" w:hAnsi="宋体" w:cs="宋体"/>
          <w:color w:val="000000"/>
          <w:sz w:val="24"/>
          <w:u w:val="single"/>
        </w:rPr>
        <w:t>    </w:t>
      </w:r>
      <w:r>
        <w:rPr>
          <w:rFonts w:ascii="宋体" w:hAnsi="宋体" w:cs="宋体"/>
          <w:color w:val="000000"/>
          <w:sz w:val="24"/>
        </w:rPr>
        <w:t>种方式处理：</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（1）总部应当收取的商标许可使用费用，已经包括在交纳的特许经营费之中，不再单独收取费用。具体以《特许经营合同》为准。</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（2）商标许可使用费标准为：</w:t>
      </w:r>
      <w:r>
        <w:rPr>
          <w:rFonts w:ascii="宋体" w:hAnsi="宋体" w:cs="宋体"/>
          <w:color w:val="000000"/>
          <w:sz w:val="24"/>
          <w:u w:val="single"/>
        </w:rPr>
        <w:t>                </w:t>
      </w:r>
      <w:r>
        <w:rPr>
          <w:rFonts w:ascii="宋体" w:hAnsi="宋体" w:cs="宋体"/>
          <w:color w:val="000000"/>
          <w:sz w:val="24"/>
        </w:rPr>
        <w:t>，支付方式为：</w:t>
      </w:r>
      <w:r>
        <w:rPr>
          <w:rFonts w:ascii="宋体" w:hAnsi="宋体" w:cs="宋体"/>
          <w:color w:val="000000"/>
          <w:sz w:val="24"/>
          <w:u w:val="single"/>
        </w:rPr>
        <w:t>                </w:t>
      </w:r>
      <w:r>
        <w:rPr>
          <w:rFonts w:ascii="宋体" w:hAnsi="宋体" w:cs="宋体"/>
          <w:color w:val="000000"/>
          <w:sz w:val="24"/>
        </w:rPr>
        <w:t>。</w:t>
      </w:r>
    </w:p>
    <w:p>
      <w:pPr>
        <w:pStyle w:val="3"/>
        <w:numPr>
          <w:ilvl w:val="0"/>
          <w:numId w:val="10"/>
        </w:numPr>
        <w:spacing w:before="0" w:beforeAutospacing="0" w:after="0" w:afterAutospacing="0" w:line="360" w:lineRule="auto"/>
        <w:rPr>
          <w:rFonts w:ascii="宋体" w:hAnsi="宋体" w:cs="宋体"/>
          <w:color w:val="000000"/>
        </w:rPr>
      </w:pPr>
      <w:r>
        <w:rPr>
          <w:rFonts w:ascii="宋体" w:hAnsi="宋体" w:cs="宋体"/>
          <w:b/>
          <w:sz w:val="24"/>
        </w:rPr>
        <w:t>违约责任</w:t>
      </w:r>
    </w:p>
    <w:p>
      <w:pPr>
        <w:pStyle w:val="4"/>
        <w:numPr>
          <w:ilvl w:val="1"/>
          <w:numId w:val="10"/>
        </w:numPr>
        <w:spacing w:before="0" w:beforeAutospacing="0" w:after="0" w:afterAutospacing="0" w:line="360" w:lineRule="auto"/>
        <w:rPr>
          <w:rFonts w:ascii="宋体" w:hAnsi="宋体" w:cs="宋体"/>
          <w:color w:val="000000"/>
        </w:rPr>
      </w:pPr>
      <w:r>
        <w:rPr>
          <w:rFonts w:ascii="宋体" w:hAnsi="宋体" w:cs="宋体"/>
          <w:color w:val="000000"/>
          <w:sz w:val="24"/>
        </w:rPr>
        <w:t>加盟店有下列违约行为的，除按照商标法的规定赔偿损失外，并应按照以下规定承担违约责任：</w:t>
      </w:r>
    </w:p>
    <w:p>
      <w:pPr>
        <w:pStyle w:val="4"/>
        <w:numPr>
          <w:ilvl w:val="2"/>
          <w:numId w:val="10"/>
        </w:numPr>
        <w:spacing w:before="0" w:beforeAutospacing="0" w:after="0" w:afterAutospacing="0" w:line="360" w:lineRule="auto"/>
        <w:rPr>
          <w:rFonts w:ascii="宋体" w:hAnsi="宋体" w:cs="宋体"/>
          <w:color w:val="000000"/>
        </w:rPr>
      </w:pPr>
      <w:r>
        <w:rPr>
          <w:rFonts w:ascii="宋体" w:hAnsi="宋体" w:cs="宋体"/>
          <w:color w:val="000000"/>
          <w:sz w:val="24"/>
        </w:rPr>
        <w:t>将许可使用的商标用于本合同规定范围以外的产品的，偿付违约金的计算方式为：</w:t>
      </w:r>
      <w:r>
        <w:rPr>
          <w:rFonts w:ascii="宋体" w:hAnsi="宋体" w:cs="宋体"/>
          <w:color w:val="000000"/>
          <w:sz w:val="24"/>
          <w:u w:val="single"/>
        </w:rPr>
        <w:t>                </w:t>
      </w:r>
      <w:r>
        <w:rPr>
          <w:rFonts w:ascii="宋体" w:hAnsi="宋体" w:cs="宋体"/>
          <w:color w:val="000000"/>
          <w:sz w:val="24"/>
        </w:rPr>
        <w:t>。</w:t>
      </w:r>
    </w:p>
    <w:p>
      <w:pPr>
        <w:pStyle w:val="4"/>
        <w:numPr>
          <w:ilvl w:val="2"/>
          <w:numId w:val="10"/>
        </w:numPr>
        <w:spacing w:before="0" w:beforeAutospacing="0" w:after="0" w:afterAutospacing="0" w:line="360" w:lineRule="auto"/>
        <w:rPr>
          <w:rFonts w:ascii="宋体" w:hAnsi="宋体" w:cs="宋体"/>
          <w:color w:val="000000"/>
        </w:rPr>
      </w:pPr>
      <w:r>
        <w:rPr>
          <w:rFonts w:ascii="宋体" w:hAnsi="宋体" w:cs="宋体"/>
          <w:color w:val="000000"/>
          <w:sz w:val="24"/>
        </w:rPr>
        <w:t>将使用许可商标的产品通过加盟店以外的其他途径进行销售的，偿付违约金的计算方式为：</w:t>
      </w:r>
      <w:r>
        <w:rPr>
          <w:rFonts w:ascii="宋体" w:hAnsi="宋体" w:cs="宋体"/>
          <w:color w:val="000000"/>
          <w:sz w:val="24"/>
          <w:u w:val="single"/>
        </w:rPr>
        <w:t>                </w:t>
      </w:r>
      <w:r>
        <w:rPr>
          <w:rFonts w:ascii="宋体" w:hAnsi="宋体" w:cs="宋体"/>
          <w:color w:val="000000"/>
          <w:sz w:val="24"/>
        </w:rPr>
        <w:t>。</w:t>
      </w:r>
    </w:p>
    <w:p>
      <w:pPr>
        <w:pStyle w:val="4"/>
        <w:numPr>
          <w:ilvl w:val="2"/>
          <w:numId w:val="10"/>
        </w:numPr>
        <w:spacing w:before="0" w:beforeAutospacing="0" w:after="0" w:afterAutospacing="0" w:line="360" w:lineRule="auto"/>
        <w:rPr>
          <w:rFonts w:ascii="宋体" w:hAnsi="宋体" w:cs="宋体"/>
          <w:color w:val="000000"/>
        </w:rPr>
      </w:pPr>
      <w:r>
        <w:rPr>
          <w:rFonts w:ascii="宋体" w:hAnsi="宋体" w:cs="宋体"/>
          <w:color w:val="000000"/>
          <w:sz w:val="24"/>
        </w:rPr>
        <w:t>将使用许可商标的产品销售给未在特许区域内注册的企业或企业的分支机构的，偿付违约金的计算方式为：</w:t>
      </w:r>
      <w:r>
        <w:rPr>
          <w:rFonts w:ascii="宋体" w:hAnsi="宋体" w:cs="宋体"/>
          <w:color w:val="000000"/>
          <w:sz w:val="24"/>
          <w:u w:val="single"/>
        </w:rPr>
        <w:t>                </w:t>
      </w:r>
      <w:r>
        <w:rPr>
          <w:rFonts w:ascii="宋体" w:hAnsi="宋体" w:cs="宋体"/>
          <w:color w:val="000000"/>
          <w:sz w:val="24"/>
        </w:rPr>
        <w:t>。</w:t>
      </w:r>
    </w:p>
    <w:p>
      <w:pPr>
        <w:pStyle w:val="4"/>
        <w:numPr>
          <w:ilvl w:val="2"/>
          <w:numId w:val="10"/>
        </w:numPr>
        <w:spacing w:before="0" w:beforeAutospacing="0" w:after="0" w:afterAutospacing="0" w:line="360" w:lineRule="auto"/>
        <w:rPr>
          <w:rFonts w:ascii="宋体" w:hAnsi="宋体" w:cs="宋体"/>
          <w:color w:val="000000"/>
        </w:rPr>
      </w:pPr>
      <w:r>
        <w:rPr>
          <w:rFonts w:ascii="宋体" w:hAnsi="宋体" w:cs="宋体"/>
          <w:color w:val="000000"/>
          <w:sz w:val="24"/>
        </w:rPr>
        <w:t>将许可的商标使用于不符合质量要求的产品销售的，偿付违约金的计算方式为：</w:t>
      </w:r>
      <w:r>
        <w:rPr>
          <w:rFonts w:ascii="宋体" w:hAnsi="宋体" w:cs="宋体"/>
          <w:color w:val="000000"/>
          <w:sz w:val="24"/>
          <w:u w:val="single"/>
        </w:rPr>
        <w:t>                </w:t>
      </w:r>
      <w:r>
        <w:rPr>
          <w:rFonts w:ascii="宋体" w:hAnsi="宋体" w:cs="宋体"/>
          <w:color w:val="000000"/>
          <w:sz w:val="24"/>
        </w:rPr>
        <w:t>。</w:t>
      </w:r>
    </w:p>
    <w:p>
      <w:pPr>
        <w:pStyle w:val="4"/>
        <w:numPr>
          <w:ilvl w:val="1"/>
          <w:numId w:val="10"/>
        </w:numPr>
        <w:spacing w:before="0" w:beforeAutospacing="0" w:after="0" w:afterAutospacing="0" w:line="360" w:lineRule="auto"/>
        <w:rPr>
          <w:rFonts w:ascii="宋体" w:hAnsi="宋体" w:cs="宋体"/>
          <w:color w:val="000000"/>
        </w:rPr>
      </w:pPr>
      <w:r>
        <w:rPr>
          <w:rFonts w:ascii="宋体" w:hAnsi="宋体" w:cs="宋体"/>
          <w:color w:val="000000"/>
          <w:sz w:val="24"/>
        </w:rPr>
        <w:t>总部有下列违约行为的，应当按照以下规定承担违约责任：</w:t>
      </w:r>
    </w:p>
    <w:p>
      <w:pPr>
        <w:pStyle w:val="4"/>
        <w:numPr>
          <w:ilvl w:val="2"/>
          <w:numId w:val="10"/>
        </w:numPr>
        <w:spacing w:before="0" w:beforeAutospacing="0" w:after="0" w:afterAutospacing="0" w:line="360" w:lineRule="auto"/>
        <w:rPr>
          <w:rFonts w:ascii="宋体" w:hAnsi="宋体" w:cs="宋体"/>
          <w:color w:val="000000"/>
        </w:rPr>
      </w:pPr>
      <w:r>
        <w:rPr>
          <w:rFonts w:ascii="宋体" w:hAnsi="宋体" w:cs="宋体"/>
          <w:color w:val="000000"/>
          <w:sz w:val="24"/>
        </w:rPr>
        <w:t>总部未按规定续展商标注册期限导致商标许可使用提前终止的，损失赔偿的计算方式为：</w:t>
      </w:r>
      <w:r>
        <w:rPr>
          <w:rFonts w:ascii="宋体" w:hAnsi="宋体" w:cs="宋体"/>
          <w:color w:val="000000"/>
          <w:sz w:val="24"/>
          <w:u w:val="single"/>
        </w:rPr>
        <w:t>                </w:t>
      </w:r>
      <w:r>
        <w:rPr>
          <w:rFonts w:ascii="宋体" w:hAnsi="宋体" w:cs="宋体"/>
          <w:color w:val="000000"/>
          <w:sz w:val="24"/>
        </w:rPr>
        <w:t>。</w:t>
      </w:r>
    </w:p>
    <w:p>
      <w:pPr>
        <w:pStyle w:val="4"/>
        <w:numPr>
          <w:ilvl w:val="2"/>
          <w:numId w:val="10"/>
        </w:numPr>
        <w:spacing w:before="0" w:beforeAutospacing="0" w:after="0" w:afterAutospacing="0" w:line="360" w:lineRule="auto"/>
        <w:rPr>
          <w:rFonts w:ascii="宋体" w:hAnsi="宋体" w:cs="宋体"/>
          <w:color w:val="000000"/>
        </w:rPr>
      </w:pPr>
      <w:r>
        <w:rPr>
          <w:rFonts w:ascii="宋体" w:hAnsi="宋体" w:cs="宋体"/>
          <w:color w:val="000000"/>
          <w:sz w:val="24"/>
        </w:rPr>
        <w:t>将许可使用商标转让给第三人，导致商标许可使用提前终止的，损失赔偿的计算方式为：</w:t>
      </w:r>
      <w:r>
        <w:rPr>
          <w:rFonts w:ascii="宋体" w:hAnsi="宋体" w:cs="宋体"/>
          <w:color w:val="000000"/>
          <w:sz w:val="24"/>
          <w:u w:val="single"/>
        </w:rPr>
        <w:t>                </w:t>
      </w:r>
      <w:r>
        <w:rPr>
          <w:rFonts w:ascii="宋体" w:hAnsi="宋体" w:cs="宋体"/>
          <w:color w:val="000000"/>
          <w:sz w:val="24"/>
        </w:rPr>
        <w:t>。</w:t>
      </w:r>
    </w:p>
    <w:p>
      <w:pPr>
        <w:pStyle w:val="3"/>
        <w:numPr>
          <w:ilvl w:val="0"/>
          <w:numId w:val="11"/>
        </w:numPr>
        <w:spacing w:before="0" w:beforeAutospacing="0" w:after="0" w:afterAutospacing="0" w:line="360" w:lineRule="auto"/>
        <w:rPr>
          <w:rFonts w:ascii="宋体" w:hAnsi="宋体" w:cs="宋体"/>
          <w:color w:val="000000"/>
        </w:rPr>
      </w:pPr>
      <w:r>
        <w:rPr>
          <w:rFonts w:ascii="宋体" w:hAnsi="宋体" w:cs="宋体"/>
          <w:b/>
          <w:sz w:val="24"/>
        </w:rPr>
        <w:t>合同文本</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本合同一式</w:t>
      </w:r>
      <w:r>
        <w:rPr>
          <w:rFonts w:ascii="宋体" w:hAnsi="宋体" w:cs="宋体"/>
          <w:color w:val="000000"/>
          <w:sz w:val="24"/>
          <w:u w:val="single"/>
        </w:rPr>
        <w:t>    </w:t>
      </w:r>
      <w:r>
        <w:rPr>
          <w:rFonts w:ascii="宋体" w:hAnsi="宋体" w:cs="宋体"/>
          <w:color w:val="000000"/>
          <w:sz w:val="24"/>
        </w:rPr>
        <w:t>份，由总部、加盟商各存</w:t>
      </w:r>
      <w:r>
        <w:rPr>
          <w:rFonts w:ascii="宋体" w:hAnsi="宋体" w:cs="宋体"/>
          <w:color w:val="000000"/>
          <w:sz w:val="24"/>
          <w:u w:val="single"/>
        </w:rPr>
        <w:t>    </w:t>
      </w:r>
      <w:r>
        <w:rPr>
          <w:rFonts w:ascii="宋体" w:hAnsi="宋体" w:cs="宋体"/>
          <w:color w:val="000000"/>
          <w:sz w:val="24"/>
        </w:rPr>
        <w:t>份，一份报商标局备案，一份送工商管理部门存档，具有同等法律效力。</w:t>
      </w:r>
    </w:p>
    <w:p>
      <w:pPr>
        <w:pStyle w:val="3"/>
        <w:numPr>
          <w:ilvl w:val="0"/>
          <w:numId w:val="12"/>
        </w:numPr>
        <w:spacing w:before="0" w:beforeAutospacing="0" w:after="0" w:afterAutospacing="0" w:line="360" w:lineRule="auto"/>
        <w:rPr>
          <w:rFonts w:ascii="宋体" w:hAnsi="宋体" w:cs="宋体"/>
          <w:color w:val="000000"/>
        </w:rPr>
      </w:pPr>
      <w:r>
        <w:rPr>
          <w:rFonts w:ascii="宋体" w:hAnsi="宋体" w:cs="宋体"/>
          <w:b/>
          <w:sz w:val="24"/>
        </w:rPr>
        <w:t>备案</w:t>
      </w:r>
    </w:p>
    <w:p>
      <w:pPr>
        <w:pStyle w:val="4"/>
        <w:numPr>
          <w:ilvl w:val="1"/>
          <w:numId w:val="12"/>
        </w:numPr>
        <w:spacing w:before="0" w:beforeAutospacing="0" w:after="0" w:afterAutospacing="0" w:line="360" w:lineRule="auto"/>
        <w:rPr>
          <w:rFonts w:ascii="宋体" w:hAnsi="宋体" w:cs="宋体"/>
          <w:color w:val="000000"/>
        </w:rPr>
      </w:pPr>
      <w:r>
        <w:rPr>
          <w:rFonts w:ascii="宋体" w:hAnsi="宋体" w:cs="宋体"/>
          <w:color w:val="000000"/>
          <w:sz w:val="24"/>
        </w:rPr>
        <w:t>总部负责办理商标许可使用合同的备案手续，备案的费用由总部承担。加盟商负责送交其所在地工商管理部门存档。</w:t>
      </w:r>
    </w:p>
    <w:p>
      <w:pPr>
        <w:pStyle w:val="4"/>
        <w:numPr>
          <w:ilvl w:val="1"/>
          <w:numId w:val="12"/>
        </w:numPr>
        <w:spacing w:before="0" w:beforeAutospacing="0" w:after="0" w:afterAutospacing="0" w:line="360" w:lineRule="auto"/>
        <w:rPr>
          <w:rFonts w:ascii="宋体" w:hAnsi="宋体" w:cs="宋体"/>
          <w:color w:val="000000"/>
        </w:rPr>
      </w:pPr>
      <w:r>
        <w:rPr>
          <w:rFonts w:ascii="宋体" w:hAnsi="宋体" w:cs="宋体"/>
          <w:color w:val="000000"/>
          <w:sz w:val="24"/>
        </w:rPr>
        <w:t>如商标管理部门要求使用其统一印制的格式文本备案存档，则应当根据本合同内容填写备案存档文本，但在执行时以本合同为准。</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签署时间：    年    月    日</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 </w:t>
      </w:r>
    </w:p>
    <w:p>
      <w:pPr>
        <w:pStyle w:val="4"/>
        <w:spacing w:before="0" w:beforeAutospacing="0" w:after="0" w:afterAutospacing="0" w:line="360" w:lineRule="auto"/>
        <w:jc w:val="left"/>
        <w:rPr>
          <w:rFonts w:ascii="宋体" w:hAnsi="宋体" w:cs="宋体"/>
          <w:b/>
          <w:color w:val="000000"/>
          <w:sz w:val="24"/>
        </w:rPr>
      </w:pPr>
      <w:r>
        <w:rPr>
          <w:rFonts w:ascii="宋体" w:hAnsi="宋体" w:cs="宋体"/>
          <w:b/>
          <w:color w:val="000000"/>
          <w:sz w:val="24"/>
        </w:rPr>
        <w:t>总部（许可方）（盖章）：</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法定代表人（签字）：</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 </w:t>
      </w:r>
    </w:p>
    <w:p>
      <w:pPr>
        <w:pStyle w:val="4"/>
        <w:spacing w:before="0" w:beforeAutospacing="0" w:after="0" w:afterAutospacing="0" w:line="360" w:lineRule="auto"/>
        <w:jc w:val="left"/>
        <w:rPr>
          <w:rFonts w:ascii="宋体" w:hAnsi="宋体" w:cs="宋体"/>
          <w:b/>
          <w:color w:val="000000"/>
          <w:sz w:val="24"/>
        </w:rPr>
      </w:pPr>
      <w:r>
        <w:rPr>
          <w:rFonts w:ascii="宋体" w:hAnsi="宋体" w:cs="宋体"/>
          <w:b/>
          <w:color w:val="000000"/>
          <w:sz w:val="24"/>
        </w:rPr>
        <w:t>加盟商（被许可方）（盖章）：</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法定代表人（签字）：</w:t>
      </w:r>
    </w:p>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fang">
    <w:altName w:val="Segoe Print"/>
    <w:panose1 w:val="00000000000000000000"/>
    <w:charset w:val="00"/>
    <w:family w:val="auto"/>
    <w:pitch w:val="default"/>
    <w:sig w:usb0="00000000" w:usb1="00000000" w:usb2="00000000" w:usb3="00000000" w:csb0="00000000" w:csb1="00000000"/>
  </w:font>
  <w:font w:name="Msyh">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0"/>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
    <w:nsid w:val="B5E306ED"/>
    <w:multiLevelType w:val="multilevel"/>
    <w:tmpl w:val="B5E306ED"/>
    <w:lvl w:ilvl="0" w:tentative="0">
      <w:start w:val="5"/>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2">
    <w:nsid w:val="BF205925"/>
    <w:multiLevelType w:val="multilevel"/>
    <w:tmpl w:val="BF205925"/>
    <w:lvl w:ilvl="0" w:tentative="0">
      <w:start w:val="4"/>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3">
    <w:nsid w:val="CF092B84"/>
    <w:multiLevelType w:val="multilevel"/>
    <w:tmpl w:val="CF092B84"/>
    <w:lvl w:ilvl="0" w:tentative="0">
      <w:start w:val="2"/>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4">
    <w:nsid w:val="0053208E"/>
    <w:multiLevelType w:val="multilevel"/>
    <w:tmpl w:val="0053208E"/>
    <w:lvl w:ilvl="0" w:tentative="0">
      <w:start w:val="1"/>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5">
    <w:nsid w:val="0248C179"/>
    <w:multiLevelType w:val="multilevel"/>
    <w:tmpl w:val="0248C179"/>
    <w:lvl w:ilvl="0" w:tentative="0">
      <w:start w:val="9"/>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6">
    <w:nsid w:val="03D62ECE"/>
    <w:multiLevelType w:val="multilevel"/>
    <w:tmpl w:val="03D62ECE"/>
    <w:lvl w:ilvl="0" w:tentative="0">
      <w:start w:val="6"/>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7">
    <w:nsid w:val="25B654F3"/>
    <w:multiLevelType w:val="multilevel"/>
    <w:tmpl w:val="25B654F3"/>
    <w:lvl w:ilvl="0" w:tentative="0">
      <w:start w:val="7"/>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8">
    <w:nsid w:val="2A8F537B"/>
    <w:multiLevelType w:val="multilevel"/>
    <w:tmpl w:val="2A8F537B"/>
    <w:lvl w:ilvl="0" w:tentative="0">
      <w:start w:val="11"/>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9">
    <w:nsid w:val="59ADCABA"/>
    <w:multiLevelType w:val="multilevel"/>
    <w:tmpl w:val="59ADCABA"/>
    <w:lvl w:ilvl="0" w:tentative="0">
      <w:start w:val="3"/>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0">
    <w:nsid w:val="5A241D34"/>
    <w:multiLevelType w:val="multilevel"/>
    <w:tmpl w:val="5A241D34"/>
    <w:lvl w:ilvl="0" w:tentative="0">
      <w:start w:val="12"/>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1">
    <w:nsid w:val="72183CF9"/>
    <w:multiLevelType w:val="multilevel"/>
    <w:tmpl w:val="72183CF9"/>
    <w:lvl w:ilvl="0" w:tentative="0">
      <w:start w:val="8"/>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1"/>
  </w:num>
  <w:num w:numId="9">
    <w:abstractNumId w:val="5"/>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0"/>
  <w:compat>
    <w:useFELayout/>
    <w:compatSetting w:name="compatibilityMode" w:uri="http://schemas.microsoft.com/office/word" w:val="15"/>
  </w:compat>
  <w:rsids>
    <w:rsidRoot w:val="00000000"/>
    <w:rsid w:val="6AD430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sz w:val="24"/>
    </w:rPr>
  </w:style>
  <w:style w:type="paragraph" w:styleId="2">
    <w:name w:val="heading 1"/>
    <w:basedOn w:val="1"/>
    <w:next w:val="1"/>
    <w:qFormat/>
    <w:uiPriority w:val="9"/>
    <w:pPr>
      <w:keepLines/>
      <w:spacing w:before="280" w:beforeAutospacing="0" w:after="280" w:afterAutospacing="0"/>
      <w:jc w:val="center"/>
      <w:outlineLvl w:val="9"/>
    </w:pPr>
    <w:rPr>
      <w:b/>
      <w:color w:val="000000"/>
      <w:sz w:val="48"/>
    </w:rPr>
  </w:style>
  <w:style w:type="paragraph" w:styleId="3">
    <w:name w:val="heading 3"/>
    <w:basedOn w:val="1"/>
    <w:next w:val="1"/>
    <w:qFormat/>
    <w:uiPriority w:val="9"/>
    <w:pPr>
      <w:keepLines/>
      <w:spacing w:before="280" w:beforeAutospacing="0" w:after="280" w:afterAutospacing="0"/>
      <w:outlineLvl w:val="1"/>
    </w:pPr>
    <w:rPr>
      <w:b/>
      <w:color w:val="000000"/>
      <w:sz w:val="27"/>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99"/>
    <w:pPr>
      <w:spacing w:before="100" w:beforeAutospacing="1" w:after="100" w:afterAutospacing="1"/>
    </w:pPr>
  </w:style>
  <w:style w:type="table" w:customStyle="1" w:styleId="7">
    <w:name w:val="Table Normal"/>
    <w:qFormat/>
    <w:uiPriority w:val="59"/>
    <w:tblPr>
      <w:tblCellMar>
        <w:top w:w="0" w:type="dxa"/>
        <w:left w:w="108" w:type="dxa"/>
        <w:bottom w:w="0" w:type="dxa"/>
        <w:right w:w="108" w:type="dxa"/>
      </w:tblCellMar>
    </w:tblPr>
  </w:style>
  <w:style w:type="paragraph" w:customStyle="1" w:styleId="8">
    <w:name w:val="font-fangsong *"/>
    <w:basedOn w:val="1"/>
    <w:qFormat/>
    <w:uiPriority w:val="0"/>
    <w:pPr>
      <w:spacing w:before="100" w:beforeAutospacing="1" w:after="100" w:afterAutospacing="1"/>
    </w:pPr>
    <w:rPr>
      <w:rFonts w:ascii="Simfang" w:hAnsi="Simfang" w:cs="Simfang"/>
    </w:rPr>
  </w:style>
  <w:style w:type="paragraph" w:customStyle="1" w:styleId="9">
    <w:name w:val="font-song *"/>
    <w:basedOn w:val="1"/>
    <w:qFormat/>
    <w:uiPriority w:val="0"/>
    <w:pPr>
      <w:spacing w:before="100" w:beforeAutospacing="1" w:after="100" w:afterAutospacing="1"/>
    </w:pPr>
    <w:rPr>
      <w:rFonts w:ascii="宋体" w:hAnsi="宋体" w:cs="宋体"/>
    </w:rPr>
  </w:style>
  <w:style w:type="paragraph" w:customStyle="1" w:styleId="10">
    <w:name w:val="font-yahei *"/>
    <w:basedOn w:val="1"/>
    <w:qFormat/>
    <w:uiPriority w:val="0"/>
    <w:pPr>
      <w:spacing w:before="100" w:beforeAutospacing="1" w:after="100" w:afterAutospacing="1"/>
    </w:pPr>
    <w:rPr>
      <w:rFonts w:ascii="Msyh" w:hAnsi="Msyh" w:cs="Msy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in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e">
      <a:majorFont>
        <a:latin typeface="宋体"/>
        <a:ea typeface="宋体"/>
        <a:cs typeface="宋体"/>
      </a:majorFont>
      <a:minorFont>
        <a:latin typeface="宋体"/>
        <a:ea typeface="宋体"/>
        <a:cs typeface="宋体"/>
      </a:minorFont>
    </a:fontScheme>
    <a:fmtScheme name="Min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2022-07-26T08:26:49Z</dcterms:created>
  <dc:creator>法天使</dc:creator>
  <cp:keywords>商标（商号、特殊标志）;商标许可;特殊场景/模式商标许可合同;常见法律关系;知识产权（及人身权许可）</cp:keywords>
  <cp:lastModifiedBy>万律365法律咨询服务</cp:lastModifiedBy>
  <dcterms:modified xsi:type="dcterms:W3CDTF">2022-07-26T08:28:14Z</dcterms:modified>
  <dc:title>商标使用许可合同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